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79" w:type="dxa"/>
        <w:jc w:val="center"/>
        <w:tblCellSpacing w:w="15" w:type="dxa"/>
        <w:tblInd w:w="-691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79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  <w:jc w:val="center"/>
        </w:trPr>
        <w:tc>
          <w:tcPr>
            <w:tcW w:w="97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63760"/>
                <w:sz w:val="22"/>
                <w:szCs w:val="22"/>
              </w:rPr>
              <w:t>2017年招聘待遇：</w:t>
            </w:r>
            <w:r>
              <w:rPr>
                <w:color w:val="063760"/>
                <w:sz w:val="18"/>
                <w:szCs w:val="18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762" w:type="dxa"/>
        <w:jc w:val="center"/>
        <w:tblCellSpacing w:w="15" w:type="dxa"/>
        <w:tblInd w:w="-66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0"/>
        <w:gridCol w:w="418"/>
        <w:gridCol w:w="847"/>
        <w:gridCol w:w="1563"/>
        <w:gridCol w:w="53"/>
        <w:gridCol w:w="2060"/>
        <w:gridCol w:w="1928"/>
        <w:gridCol w:w="197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2" w:hRule="atLeast"/>
          <w:tblCellSpacing w:w="15" w:type="dxa"/>
          <w:jc w:val="center"/>
        </w:trPr>
        <w:tc>
          <w:tcPr>
            <w:tcW w:w="1293" w:type="dxa"/>
            <w:gridSpan w:val="2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Style w:val="4"/>
                <w:color w:val="063760"/>
                <w:sz w:val="27"/>
                <w:szCs w:val="27"/>
              </w:rPr>
              <w:t>人才层次</w:t>
            </w:r>
          </w:p>
        </w:tc>
        <w:tc>
          <w:tcPr>
            <w:tcW w:w="81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Style w:val="4"/>
                <w:color w:val="063760"/>
                <w:sz w:val="27"/>
                <w:szCs w:val="27"/>
              </w:rPr>
              <w:t>学科</w:t>
            </w:r>
            <w:r>
              <w:rPr>
                <w:rStyle w:val="4"/>
                <w:color w:val="063760"/>
                <w:sz w:val="18"/>
                <w:szCs w:val="18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Style w:val="4"/>
                <w:color w:val="063760"/>
                <w:sz w:val="27"/>
                <w:szCs w:val="27"/>
              </w:rPr>
              <w:t>团队</w:t>
            </w:r>
          </w:p>
        </w:tc>
        <w:tc>
          <w:tcPr>
            <w:tcW w:w="1586" w:type="dxa"/>
            <w:gridSpan w:val="2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18"/>
                <w:szCs w:val="18"/>
              </w:rPr>
              <w:t> </w:t>
            </w:r>
            <w:r>
              <w:rPr>
                <w:rStyle w:val="4"/>
                <w:color w:val="063760"/>
                <w:sz w:val="27"/>
                <w:szCs w:val="27"/>
              </w:rPr>
              <w:t>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Style w:val="4"/>
                <w:color w:val="063760"/>
                <w:sz w:val="27"/>
                <w:szCs w:val="27"/>
              </w:rPr>
              <w:t> 带头人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18"/>
                <w:szCs w:val="18"/>
              </w:rPr>
              <w:t> </w:t>
            </w:r>
          </w:p>
        </w:tc>
        <w:tc>
          <w:tcPr>
            <w:tcW w:w="203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Style w:val="4"/>
                <w:color w:val="063760"/>
                <w:sz w:val="27"/>
                <w:szCs w:val="27"/>
              </w:rPr>
              <w:t>教  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Style w:val="4"/>
                <w:color w:val="063760"/>
                <w:sz w:val="27"/>
                <w:szCs w:val="27"/>
              </w:rPr>
              <w:t>（有博士学位）</w:t>
            </w:r>
          </w:p>
        </w:tc>
        <w:tc>
          <w:tcPr>
            <w:tcW w:w="385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Style w:val="4"/>
                <w:color w:val="063760"/>
                <w:sz w:val="27"/>
                <w:szCs w:val="27"/>
              </w:rPr>
              <w:t>博 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2" w:hRule="atLeast"/>
          <w:tblCellSpacing w:w="15" w:type="dxa"/>
          <w:jc w:val="center"/>
        </w:trPr>
        <w:tc>
          <w:tcPr>
            <w:tcW w:w="1293" w:type="dxa"/>
            <w:gridSpan w:val="2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63760"/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63760"/>
                <w:sz w:val="18"/>
                <w:szCs w:val="18"/>
              </w:rPr>
            </w:pPr>
          </w:p>
        </w:tc>
        <w:tc>
          <w:tcPr>
            <w:tcW w:w="1586" w:type="dxa"/>
            <w:gridSpan w:val="2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63760"/>
                <w:sz w:val="18"/>
                <w:szCs w:val="18"/>
              </w:rPr>
            </w:pPr>
          </w:p>
        </w:tc>
        <w:tc>
          <w:tcPr>
            <w:tcW w:w="203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63760"/>
                <w:sz w:val="18"/>
                <w:szCs w:val="18"/>
              </w:rPr>
            </w:pPr>
          </w:p>
        </w:tc>
        <w:tc>
          <w:tcPr>
            <w:tcW w:w="18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Style w:val="4"/>
                <w:color w:val="063760"/>
                <w:sz w:val="27"/>
                <w:szCs w:val="27"/>
              </w:rPr>
              <w:t>A类</w:t>
            </w:r>
          </w:p>
        </w:tc>
        <w:tc>
          <w:tcPr>
            <w:tcW w:w="19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Style w:val="4"/>
                <w:color w:val="063760"/>
                <w:sz w:val="27"/>
                <w:szCs w:val="27"/>
              </w:rPr>
              <w:t>B类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2" w:hRule="atLeast"/>
          <w:tblCellSpacing w:w="15" w:type="dxa"/>
          <w:jc w:val="center"/>
        </w:trPr>
        <w:tc>
          <w:tcPr>
            <w:tcW w:w="129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年 龄</w:t>
            </w:r>
          </w:p>
        </w:tc>
        <w:tc>
          <w:tcPr>
            <w:tcW w:w="8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18"/>
                <w:szCs w:val="18"/>
              </w:rPr>
              <w:t> </w:t>
            </w:r>
          </w:p>
        </w:tc>
        <w:tc>
          <w:tcPr>
            <w:tcW w:w="158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18"/>
                <w:szCs w:val="18"/>
              </w:rPr>
              <w:t> 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45岁以下</w:t>
            </w:r>
          </w:p>
        </w:tc>
        <w:tc>
          <w:tcPr>
            <w:tcW w:w="385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40岁以下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2" w:hRule="atLeast"/>
          <w:tblCellSpacing w:w="15" w:type="dxa"/>
          <w:jc w:val="center"/>
        </w:trPr>
        <w:tc>
          <w:tcPr>
            <w:tcW w:w="129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引进补贴</w:t>
            </w:r>
          </w:p>
        </w:tc>
        <w:tc>
          <w:tcPr>
            <w:tcW w:w="8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面议</w:t>
            </w:r>
          </w:p>
        </w:tc>
        <w:tc>
          <w:tcPr>
            <w:tcW w:w="158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60-100万元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30-50万元</w:t>
            </w:r>
          </w:p>
        </w:tc>
        <w:tc>
          <w:tcPr>
            <w:tcW w:w="18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20-40万元</w:t>
            </w:r>
          </w:p>
        </w:tc>
        <w:tc>
          <w:tcPr>
            <w:tcW w:w="19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10-20万元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2" w:hRule="atLeast"/>
          <w:tblCellSpacing w:w="15" w:type="dxa"/>
          <w:jc w:val="center"/>
        </w:trPr>
        <w:tc>
          <w:tcPr>
            <w:tcW w:w="129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租房补贴</w:t>
            </w:r>
          </w:p>
        </w:tc>
        <w:tc>
          <w:tcPr>
            <w:tcW w:w="4493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1500元/月</w:t>
            </w:r>
          </w:p>
        </w:tc>
        <w:tc>
          <w:tcPr>
            <w:tcW w:w="385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1000元/月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2" w:hRule="atLeast"/>
          <w:tblCellSpacing w:w="15" w:type="dxa"/>
          <w:jc w:val="center"/>
        </w:trPr>
        <w:tc>
          <w:tcPr>
            <w:tcW w:w="129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科研启动费</w:t>
            </w:r>
          </w:p>
        </w:tc>
        <w:tc>
          <w:tcPr>
            <w:tcW w:w="8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面议</w:t>
            </w:r>
          </w:p>
        </w:tc>
        <w:tc>
          <w:tcPr>
            <w:tcW w:w="15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面议</w:t>
            </w:r>
          </w:p>
        </w:tc>
        <w:tc>
          <w:tcPr>
            <w:tcW w:w="208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理工类：30万元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文科类：15万元</w:t>
            </w:r>
          </w:p>
        </w:tc>
        <w:tc>
          <w:tcPr>
            <w:tcW w:w="18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理工类：8万元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文科类：5万元</w:t>
            </w:r>
          </w:p>
        </w:tc>
        <w:tc>
          <w:tcPr>
            <w:tcW w:w="19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理工类：5万元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文科类：3万元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2" w:hRule="atLeast"/>
          <w:tblCellSpacing w:w="15" w:type="dxa"/>
          <w:jc w:val="center"/>
        </w:trPr>
        <w:tc>
          <w:tcPr>
            <w:tcW w:w="8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优惠政策</w:t>
            </w:r>
          </w:p>
        </w:tc>
        <w:tc>
          <w:tcPr>
            <w:tcW w:w="8797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color w:val="06376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63760"/>
                <w:kern w:val="0"/>
                <w:sz w:val="27"/>
                <w:szCs w:val="27"/>
                <w:lang w:val="en-US" w:eastAsia="zh-CN" w:bidi="ar"/>
              </w:rPr>
              <w:t xml:space="preserve">* 特别优秀人才的待遇可突破以上相应限额，一人一议。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* 学科团队成员可根据相应层次增加引进补贴10%-20%。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* 引进的教授、学科带头人、学科团队成员，学校可安排其家属工作。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* 入选学校“青年学者支持计划”人选可获最高15万元资助。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* 引进人才优先推荐申报国家、省、市人才项目，并给予相应配套资助。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* 海归博士来校三年内，可不受资历限制，直接申报高级职称。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* 在世界排名前200名大学毕业或在世界排名前100名的专业毕业的博士进校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 xml:space="preserve">  2年内享受副教授工资待遇，其余博士进校2年内享受副教授奖励性绩效津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  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* 柔性引进人才，根据人才层次按协议享受相关待遇。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* 引进人员来校工作可享受租房补贴，期限2年。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96" w:type="dxa"/>
        <w:jc w:val="center"/>
        <w:tblCellSpacing w:w="15" w:type="dxa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9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3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2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63760"/>
                <w:sz w:val="22"/>
                <w:szCs w:val="22"/>
              </w:rPr>
              <w:t>注：引进考核津贴占引进补贴总量的20%，服务期内达到相应考核指标即可享受。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433C1"/>
    <w:rsid w:val="68C433C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63760"/>
      <w:sz w:val="18"/>
      <w:szCs w:val="18"/>
      <w:u w:val="none"/>
    </w:rPr>
  </w:style>
  <w:style w:type="character" w:styleId="6">
    <w:name w:val="Hyperlink"/>
    <w:basedOn w:val="3"/>
    <w:uiPriority w:val="0"/>
    <w:rPr>
      <w:color w:val="06376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2017-01-22T04:11:00Z</dcterms:created>
  <dc:creator>ASUS</dc:creator>
  <cp:lastModifiedBy>ASUS</cp:lastModifiedBy>
  <dcterms:modified xsi:type="dcterms:W3CDTF">2017-01-22T04:12:04Z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